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4533" w:rsidRPr="00F16981" w:rsidTr="00855A34">
        <w:trPr>
          <w:trHeight w:val="150"/>
        </w:trPr>
        <w:tc>
          <w:tcPr>
            <w:tcW w:w="9576" w:type="dxa"/>
            <w:tcBorders>
              <w:top w:val="single" w:sz="12" w:space="0" w:color="548DD4" w:themeColor="text2" w:themeTint="99"/>
              <w:left w:val="single" w:sz="4" w:space="0" w:color="auto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</w:tcPr>
          <w:p w:rsidR="00F74AC3" w:rsidRPr="00F16981" w:rsidRDefault="000775CA" w:rsidP="00E7095F">
            <w:pPr>
              <w:jc w:val="both"/>
              <w:rPr>
                <w:rFonts w:ascii="Candara" w:hAnsi="Candara"/>
              </w:rPr>
            </w:pPr>
            <w:bookmarkStart w:id="0" w:name="_GoBack"/>
            <w:bookmarkEnd w:id="0"/>
            <w:r w:rsidRPr="00F16981">
              <w:rPr>
                <w:rFonts w:ascii="Candara" w:hAnsi="Candara"/>
              </w:rPr>
              <w:t xml:space="preserve">Community </w:t>
            </w:r>
            <w:r w:rsidR="00A04533" w:rsidRPr="00F16981">
              <w:rPr>
                <w:rFonts w:ascii="Candara" w:hAnsi="Candara"/>
              </w:rPr>
              <w:t>Health Center</w:t>
            </w:r>
            <w:r w:rsidRPr="00F16981">
              <w:rPr>
                <w:rFonts w:ascii="Candara" w:hAnsi="Candara"/>
              </w:rPr>
              <w:t xml:space="preserve">s are complex organizations </w:t>
            </w:r>
            <w:r w:rsidR="00A04533" w:rsidRPr="00F16981">
              <w:rPr>
                <w:rFonts w:ascii="Candara" w:hAnsi="Candara"/>
              </w:rPr>
              <w:t>requir</w:t>
            </w:r>
            <w:r w:rsidRPr="00F16981">
              <w:rPr>
                <w:rFonts w:ascii="Candara" w:hAnsi="Candara"/>
              </w:rPr>
              <w:t xml:space="preserve">ing </w:t>
            </w:r>
            <w:r w:rsidR="009A548A" w:rsidRPr="00F16981">
              <w:rPr>
                <w:rFonts w:ascii="Candara" w:hAnsi="Candara"/>
              </w:rPr>
              <w:t>Board</w:t>
            </w:r>
            <w:r w:rsidR="00A91AF1" w:rsidRPr="00F16981">
              <w:rPr>
                <w:rFonts w:ascii="Candara" w:hAnsi="Candara"/>
              </w:rPr>
              <w:t>s</w:t>
            </w:r>
            <w:r w:rsidR="009A548A" w:rsidRPr="00F16981">
              <w:rPr>
                <w:rFonts w:ascii="Candara" w:hAnsi="Candara"/>
              </w:rPr>
              <w:t xml:space="preserve"> </w:t>
            </w:r>
            <w:r w:rsidRPr="00F16981">
              <w:rPr>
                <w:rFonts w:ascii="Candara" w:hAnsi="Candara"/>
              </w:rPr>
              <w:t xml:space="preserve">of Directors </w:t>
            </w:r>
            <w:r w:rsidR="00397187" w:rsidRPr="00F16981">
              <w:rPr>
                <w:rFonts w:ascii="Candara" w:hAnsi="Candara"/>
              </w:rPr>
              <w:t xml:space="preserve">to </w:t>
            </w:r>
            <w:r w:rsidR="00A91AF1" w:rsidRPr="00F16981">
              <w:rPr>
                <w:rFonts w:ascii="Candara" w:hAnsi="Candara"/>
              </w:rPr>
              <w:t xml:space="preserve">be </w:t>
            </w:r>
            <w:r w:rsidR="001A0388" w:rsidRPr="00F16981">
              <w:rPr>
                <w:rFonts w:ascii="Candara" w:hAnsi="Candara"/>
              </w:rPr>
              <w:t>well</w:t>
            </w:r>
            <w:r w:rsidR="00A91AF1" w:rsidRPr="00F16981">
              <w:rPr>
                <w:rFonts w:ascii="Candara" w:hAnsi="Candara"/>
              </w:rPr>
              <w:t>-</w:t>
            </w:r>
            <w:r w:rsidR="000504C6" w:rsidRPr="00F16981">
              <w:rPr>
                <w:rFonts w:ascii="Candara" w:hAnsi="Candara"/>
              </w:rPr>
              <w:t>oriented</w:t>
            </w:r>
            <w:r w:rsidR="009A548A" w:rsidRPr="00F16981">
              <w:rPr>
                <w:rFonts w:ascii="Candara" w:hAnsi="Candara"/>
              </w:rPr>
              <w:t xml:space="preserve"> to the organization and the Health Center </w:t>
            </w:r>
            <w:r w:rsidRPr="00F16981">
              <w:rPr>
                <w:rFonts w:ascii="Candara" w:hAnsi="Candara"/>
              </w:rPr>
              <w:t>P</w:t>
            </w:r>
            <w:r w:rsidR="009A548A" w:rsidRPr="00F16981">
              <w:rPr>
                <w:rFonts w:ascii="Candara" w:hAnsi="Candara"/>
              </w:rPr>
              <w:t>rogram</w:t>
            </w:r>
            <w:r w:rsidR="00A91AF1" w:rsidRPr="00F16981">
              <w:rPr>
                <w:rFonts w:ascii="Candara" w:hAnsi="Candara"/>
              </w:rPr>
              <w:t>,</w:t>
            </w:r>
            <w:r w:rsidR="009A548A" w:rsidRPr="00F16981">
              <w:rPr>
                <w:rFonts w:ascii="Candara" w:hAnsi="Candara"/>
              </w:rPr>
              <w:t xml:space="preserve"> </w:t>
            </w:r>
            <w:r w:rsidR="00397187" w:rsidRPr="00F16981">
              <w:rPr>
                <w:rFonts w:ascii="Candara" w:hAnsi="Candara"/>
              </w:rPr>
              <w:t>and</w:t>
            </w:r>
            <w:r w:rsidR="00A91AF1" w:rsidRPr="00F16981">
              <w:rPr>
                <w:rFonts w:ascii="Candara" w:hAnsi="Candara"/>
              </w:rPr>
              <w:t xml:space="preserve"> </w:t>
            </w:r>
            <w:r w:rsidR="009A548A" w:rsidRPr="00F16981">
              <w:rPr>
                <w:rFonts w:ascii="Candara" w:hAnsi="Candara"/>
              </w:rPr>
              <w:t xml:space="preserve">also </w:t>
            </w:r>
            <w:r w:rsidR="00F74AC3" w:rsidRPr="00F16981">
              <w:rPr>
                <w:rFonts w:ascii="Candara" w:hAnsi="Candara"/>
              </w:rPr>
              <w:t>equipped, well</w:t>
            </w:r>
            <w:r w:rsidR="00A91AF1" w:rsidRPr="00F16981">
              <w:rPr>
                <w:rFonts w:ascii="Candara" w:hAnsi="Candara"/>
              </w:rPr>
              <w:t>-</w:t>
            </w:r>
            <w:r w:rsidR="009A548A" w:rsidRPr="00F16981">
              <w:rPr>
                <w:rFonts w:ascii="Candara" w:hAnsi="Candara"/>
              </w:rPr>
              <w:t>verse</w:t>
            </w:r>
            <w:r w:rsidR="00A91AF1" w:rsidRPr="00F16981">
              <w:rPr>
                <w:rFonts w:ascii="Candara" w:hAnsi="Candara"/>
              </w:rPr>
              <w:t>d</w:t>
            </w:r>
            <w:r w:rsidR="00F74AC3" w:rsidRPr="00F16981">
              <w:rPr>
                <w:rFonts w:ascii="Candara" w:hAnsi="Candara"/>
              </w:rPr>
              <w:t>,</w:t>
            </w:r>
            <w:r w:rsidR="009A548A" w:rsidRPr="00F16981">
              <w:rPr>
                <w:rFonts w:ascii="Candara" w:hAnsi="Candara"/>
              </w:rPr>
              <w:t xml:space="preserve"> and up-to-date </w:t>
            </w:r>
            <w:r w:rsidR="00A91AF1" w:rsidRPr="00F16981">
              <w:rPr>
                <w:rFonts w:ascii="Candara" w:hAnsi="Candara"/>
              </w:rPr>
              <w:t xml:space="preserve">on </w:t>
            </w:r>
            <w:r w:rsidR="009A548A" w:rsidRPr="00F16981">
              <w:rPr>
                <w:rFonts w:ascii="Candara" w:hAnsi="Candara"/>
              </w:rPr>
              <w:t xml:space="preserve">the most significant </w:t>
            </w:r>
            <w:r w:rsidR="00397187" w:rsidRPr="00F16981">
              <w:rPr>
                <w:rFonts w:ascii="Candara" w:hAnsi="Candara"/>
              </w:rPr>
              <w:t>factors</w:t>
            </w:r>
            <w:r w:rsidR="00F74AC3" w:rsidRPr="00F16981">
              <w:rPr>
                <w:rFonts w:ascii="Candara" w:hAnsi="Candara"/>
              </w:rPr>
              <w:t xml:space="preserve"> impacting service delivery at community health centers.  </w:t>
            </w:r>
            <w:r w:rsidRPr="00F16981">
              <w:rPr>
                <w:rFonts w:ascii="Candara" w:hAnsi="Candara"/>
              </w:rPr>
              <w:t xml:space="preserve"> </w:t>
            </w:r>
            <w:r w:rsidR="00397187" w:rsidRPr="00F16981">
              <w:rPr>
                <w:rFonts w:ascii="Candara" w:hAnsi="Candara"/>
              </w:rPr>
              <w:t>This requires ongoing training</w:t>
            </w:r>
            <w:r w:rsidRPr="00F16981">
              <w:rPr>
                <w:rFonts w:ascii="Candara" w:hAnsi="Candara"/>
              </w:rPr>
              <w:t xml:space="preserve"> </w:t>
            </w:r>
            <w:r w:rsidR="00397187" w:rsidRPr="00F16981">
              <w:rPr>
                <w:rFonts w:ascii="Candara" w:hAnsi="Candara"/>
              </w:rPr>
              <w:t>on several important topics.</w:t>
            </w:r>
          </w:p>
          <w:p w:rsidR="00AE05BF" w:rsidRPr="00F16981" w:rsidRDefault="00AE05BF" w:rsidP="00E7095F">
            <w:pPr>
              <w:jc w:val="both"/>
              <w:rPr>
                <w:rFonts w:ascii="Candara" w:hAnsi="Candara"/>
              </w:rPr>
            </w:pPr>
          </w:p>
          <w:p w:rsidR="00AF1EB5" w:rsidRPr="00F16981" w:rsidRDefault="00D256C0" w:rsidP="003413FE">
            <w:pPr>
              <w:jc w:val="both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As </w:t>
            </w:r>
            <w:r w:rsidR="000504C6" w:rsidRPr="00F16981">
              <w:rPr>
                <w:rFonts w:ascii="Candara" w:hAnsi="Candara"/>
              </w:rPr>
              <w:t>volunteer Board</w:t>
            </w:r>
            <w:r w:rsidR="00A91AF1" w:rsidRPr="00F16981">
              <w:rPr>
                <w:rFonts w:ascii="Candara" w:hAnsi="Candara"/>
              </w:rPr>
              <w:t>s</w:t>
            </w:r>
            <w:r w:rsidR="000504C6" w:rsidRPr="00F16981">
              <w:rPr>
                <w:rFonts w:ascii="Candara" w:hAnsi="Candara"/>
              </w:rPr>
              <w:t xml:space="preserve"> of Directors with monthly meetings scheduled</w:t>
            </w:r>
            <w:r w:rsidR="00405FCF" w:rsidRPr="00F16981">
              <w:rPr>
                <w:rFonts w:ascii="Candara" w:hAnsi="Candara"/>
              </w:rPr>
              <w:t>,</w:t>
            </w:r>
            <w:r w:rsidR="000504C6" w:rsidRPr="00F16981">
              <w:rPr>
                <w:rFonts w:ascii="Candara" w:hAnsi="Candara"/>
              </w:rPr>
              <w:t xml:space="preserve"> and committee work in between, it is challenging to </w:t>
            </w:r>
            <w:r w:rsidR="00420FA2" w:rsidRPr="00F16981">
              <w:rPr>
                <w:rFonts w:ascii="Candara" w:hAnsi="Candara"/>
              </w:rPr>
              <w:t xml:space="preserve">allocate a large </w:t>
            </w:r>
            <w:r w:rsidR="000504C6" w:rsidRPr="00F16981">
              <w:rPr>
                <w:rFonts w:ascii="Candara" w:hAnsi="Candara"/>
              </w:rPr>
              <w:t xml:space="preserve">block of time exclusively dedicated to board training.  </w:t>
            </w:r>
            <w:r w:rsidR="003413FE" w:rsidRPr="00F16981">
              <w:rPr>
                <w:rFonts w:ascii="Candara" w:hAnsi="Candara"/>
              </w:rPr>
              <w:t>Therefore, in order to p</w:t>
            </w:r>
            <w:r w:rsidRPr="00F16981">
              <w:rPr>
                <w:rFonts w:ascii="Candara" w:hAnsi="Candara"/>
              </w:rPr>
              <w:t xml:space="preserve">rovide the opportunity for all board members to be introduced to </w:t>
            </w:r>
            <w:proofErr w:type="gramStart"/>
            <w:r w:rsidRPr="00F16981">
              <w:rPr>
                <w:rFonts w:ascii="Candara" w:hAnsi="Candara"/>
              </w:rPr>
              <w:t>selected</w:t>
            </w:r>
            <w:proofErr w:type="gramEnd"/>
            <w:r w:rsidRPr="00F16981">
              <w:rPr>
                <w:rFonts w:ascii="Candara" w:hAnsi="Candara"/>
              </w:rPr>
              <w:t xml:space="preserve"> training topics</w:t>
            </w:r>
            <w:r w:rsidR="00397187" w:rsidRPr="00F16981">
              <w:rPr>
                <w:rFonts w:ascii="Candara" w:hAnsi="Candara"/>
              </w:rPr>
              <w:t>,</w:t>
            </w:r>
            <w:r w:rsidRPr="00F16981">
              <w:rPr>
                <w:rFonts w:ascii="Candara" w:hAnsi="Candara"/>
              </w:rPr>
              <w:t xml:space="preserve"> it is recommended </w:t>
            </w:r>
            <w:r w:rsidR="00F74AC3" w:rsidRPr="00F16981">
              <w:rPr>
                <w:rFonts w:ascii="Candara" w:hAnsi="Candara"/>
              </w:rPr>
              <w:t xml:space="preserve">that </w:t>
            </w:r>
            <w:r w:rsidR="003413FE" w:rsidRPr="00F16981">
              <w:rPr>
                <w:rFonts w:ascii="Candara" w:hAnsi="Candara"/>
              </w:rPr>
              <w:t xml:space="preserve">a </w:t>
            </w:r>
            <w:r w:rsidR="00F74AC3" w:rsidRPr="00F16981">
              <w:rPr>
                <w:rFonts w:ascii="Candara" w:hAnsi="Candara"/>
              </w:rPr>
              <w:t xml:space="preserve">short training session be included as </w:t>
            </w:r>
            <w:r w:rsidR="003413FE" w:rsidRPr="00F16981">
              <w:rPr>
                <w:rFonts w:ascii="Candara" w:hAnsi="Candara"/>
              </w:rPr>
              <w:t xml:space="preserve">an </w:t>
            </w:r>
            <w:r w:rsidR="00F74AC3" w:rsidRPr="00F16981">
              <w:rPr>
                <w:rFonts w:ascii="Candara" w:hAnsi="Candara"/>
              </w:rPr>
              <w:t>agenda item at monthly board meeting</w:t>
            </w:r>
            <w:r w:rsidRPr="00F16981">
              <w:rPr>
                <w:rFonts w:ascii="Candara" w:hAnsi="Candara"/>
              </w:rPr>
              <w:t xml:space="preserve">s.  Boards can determine which topics they prefer to </w:t>
            </w:r>
            <w:r w:rsidR="003413FE" w:rsidRPr="00F16981">
              <w:rPr>
                <w:rFonts w:ascii="Candara" w:hAnsi="Candara"/>
              </w:rPr>
              <w:t xml:space="preserve">address </w:t>
            </w:r>
            <w:r w:rsidRPr="00F16981">
              <w:rPr>
                <w:rFonts w:ascii="Candara" w:hAnsi="Candara"/>
              </w:rPr>
              <w:t>for each meeting and which o</w:t>
            </w:r>
            <w:r w:rsidR="003413FE" w:rsidRPr="00F16981">
              <w:rPr>
                <w:rFonts w:ascii="Candara" w:hAnsi="Candara"/>
              </w:rPr>
              <w:t>nes</w:t>
            </w:r>
            <w:r w:rsidRPr="00F16981">
              <w:rPr>
                <w:rFonts w:ascii="Candara" w:hAnsi="Candara"/>
              </w:rPr>
              <w:t xml:space="preserve"> to schedule for their annual meeting</w:t>
            </w:r>
            <w:r w:rsidR="00842E3B" w:rsidRPr="00F16981">
              <w:rPr>
                <w:rFonts w:ascii="Candara" w:hAnsi="Candara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620"/>
        <w:gridCol w:w="1553"/>
      </w:tblGrid>
      <w:tr w:rsidR="00AE05BF" w:rsidRPr="00F16981" w:rsidTr="00AE05BF">
        <w:tc>
          <w:tcPr>
            <w:tcW w:w="6385" w:type="dxa"/>
          </w:tcPr>
          <w:p w:rsidR="00AE05BF" w:rsidRPr="00F16981" w:rsidRDefault="00DE2A00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  </w:t>
            </w:r>
            <w:r w:rsidR="00AE05BF" w:rsidRPr="00F16981">
              <w:rPr>
                <w:rFonts w:ascii="Candara" w:hAnsi="Candara"/>
              </w:rPr>
              <w:t>Training Topic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Monthly Meeting</w:t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Annual Meeting</w:t>
            </w:r>
          </w:p>
        </w:tc>
      </w:tr>
      <w:tr w:rsidR="00AE05BF" w:rsidRPr="00F16981" w:rsidTr="00AE05BF">
        <w:tc>
          <w:tcPr>
            <w:tcW w:w="6385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Community Health Center Program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53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405FC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Program Requirements </w:t>
            </w:r>
            <w:r w:rsidR="003413FE" w:rsidRPr="00F16981">
              <w:rPr>
                <w:rFonts w:ascii="Candara" w:hAnsi="Candara"/>
              </w:rPr>
              <w:t xml:space="preserve">– general </w:t>
            </w:r>
            <w:r w:rsidRPr="00F16981">
              <w:rPr>
                <w:rFonts w:ascii="Candara" w:hAnsi="Candara"/>
              </w:rPr>
              <w:t xml:space="preserve">overview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397187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Board</w:t>
            </w:r>
            <w:r w:rsidR="00AE05BF" w:rsidRPr="00F16981">
              <w:rPr>
                <w:rFonts w:ascii="Candara" w:hAnsi="Candara"/>
              </w:rPr>
              <w:t xml:space="preserve"> composition 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Governance authority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Scope of Project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405FC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Board as </w:t>
            </w:r>
            <w:r w:rsidR="00405FCF" w:rsidRPr="00F16981">
              <w:rPr>
                <w:rFonts w:ascii="Candara" w:hAnsi="Candara"/>
              </w:rPr>
              <w:t>p</w:t>
            </w:r>
            <w:r w:rsidRPr="00F16981">
              <w:rPr>
                <w:rFonts w:ascii="Candara" w:hAnsi="Candara"/>
              </w:rPr>
              <w:t xml:space="preserve">olicy </w:t>
            </w:r>
            <w:r w:rsidR="00405FCF" w:rsidRPr="00F16981">
              <w:rPr>
                <w:rFonts w:ascii="Candara" w:hAnsi="Candara"/>
              </w:rPr>
              <w:t>m</w:t>
            </w:r>
            <w:r w:rsidRPr="00F16981">
              <w:rPr>
                <w:rFonts w:ascii="Candara" w:hAnsi="Candara"/>
              </w:rPr>
              <w:t>aking body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3413FE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Governing Board</w:t>
            </w:r>
            <w:r w:rsidR="003413FE" w:rsidRPr="00F16981">
              <w:rPr>
                <w:rFonts w:ascii="Candara" w:hAnsi="Candara"/>
              </w:rPr>
              <w:t xml:space="preserve">s – fiduciary </w:t>
            </w:r>
            <w:r w:rsidRPr="00F16981">
              <w:rPr>
                <w:rFonts w:ascii="Candara" w:hAnsi="Candara"/>
              </w:rPr>
              <w:t xml:space="preserve">responsibilities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Health Center Funding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both"/>
              <w:rPr>
                <w:rFonts w:ascii="Candara" w:hAnsi="Candara"/>
              </w:rPr>
            </w:pPr>
          </w:p>
        </w:tc>
        <w:tc>
          <w:tcPr>
            <w:tcW w:w="1553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both"/>
              <w:rPr>
                <w:rFonts w:ascii="Candara" w:hAnsi="Candara"/>
              </w:rPr>
            </w:pP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3413FE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PHS Section 330 gran</w:t>
            </w:r>
            <w:r w:rsidR="003413FE" w:rsidRPr="00F16981">
              <w:rPr>
                <w:rFonts w:ascii="Candara" w:hAnsi="Candara"/>
              </w:rPr>
              <w:t xml:space="preserve">t – general </w:t>
            </w:r>
            <w:r w:rsidRPr="00F16981">
              <w:rPr>
                <w:rFonts w:ascii="Candara" w:hAnsi="Candara"/>
              </w:rPr>
              <w:t>overview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Sliding Fee Scale Discount Program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Medicaid, CHIP and Medicare Programs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Billing and collection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Fundraising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  <w:shd w:val="clear" w:color="auto" w:fill="B6DDE8" w:themeFill="accent5" w:themeFillTint="66"/>
          </w:tcPr>
          <w:p w:rsidR="00AE05BF" w:rsidRPr="00F16981" w:rsidRDefault="00B90BB5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Health Center </w:t>
            </w:r>
            <w:r w:rsidR="00AE05BF" w:rsidRPr="00F16981">
              <w:rPr>
                <w:rFonts w:ascii="Candara" w:hAnsi="Candara"/>
              </w:rPr>
              <w:t>Compliance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53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Corporate compliance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Conflict of interest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Patient &amp; staff grievances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Uniform Data System (UDS) submission requirements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Federal Tort Claim</w:t>
            </w:r>
            <w:r w:rsidR="00405FCF" w:rsidRPr="00F16981">
              <w:rPr>
                <w:rFonts w:ascii="Candara" w:hAnsi="Candara"/>
              </w:rPr>
              <w:t>s</w:t>
            </w:r>
            <w:r w:rsidRPr="00F16981">
              <w:rPr>
                <w:rFonts w:ascii="Candara" w:hAnsi="Candara"/>
              </w:rPr>
              <w:t xml:space="preserve"> Act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Quality Assurance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Meaningful Use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Health Center Reports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both"/>
              <w:rPr>
                <w:rFonts w:ascii="Candara" w:hAnsi="Candara"/>
              </w:rPr>
            </w:pPr>
          </w:p>
        </w:tc>
        <w:tc>
          <w:tcPr>
            <w:tcW w:w="1553" w:type="dxa"/>
            <w:shd w:val="clear" w:color="auto" w:fill="B6DDE8" w:themeFill="accent5" w:themeFillTint="66"/>
          </w:tcPr>
          <w:p w:rsidR="00AE05BF" w:rsidRPr="00F16981" w:rsidRDefault="00AE05BF" w:rsidP="00AE05BF">
            <w:pPr>
              <w:jc w:val="both"/>
              <w:rPr>
                <w:rFonts w:ascii="Candara" w:hAnsi="Candara"/>
              </w:rPr>
            </w:pP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B90BB5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Patient </w:t>
            </w:r>
            <w:r w:rsidR="00B90BB5" w:rsidRPr="00F16981">
              <w:rPr>
                <w:rFonts w:ascii="Candara" w:hAnsi="Candara"/>
              </w:rPr>
              <w:t>S</w:t>
            </w:r>
            <w:r w:rsidRPr="00F16981">
              <w:rPr>
                <w:rFonts w:ascii="Candara" w:hAnsi="Candara"/>
              </w:rPr>
              <w:t xml:space="preserve">atisfaction </w:t>
            </w:r>
            <w:r w:rsidR="00B90BB5" w:rsidRPr="00F16981">
              <w:rPr>
                <w:rFonts w:ascii="Candara" w:hAnsi="Candara"/>
              </w:rPr>
              <w:t>reports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Productivity reports 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UDS trends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Finance reports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B90BB5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Adverse </w:t>
            </w:r>
            <w:r w:rsidR="00B90BB5" w:rsidRPr="00F16981">
              <w:rPr>
                <w:rFonts w:ascii="Candara" w:hAnsi="Candara"/>
              </w:rPr>
              <w:t>E</w:t>
            </w:r>
            <w:r w:rsidRPr="00F16981">
              <w:rPr>
                <w:rFonts w:ascii="Candara" w:hAnsi="Candara"/>
              </w:rPr>
              <w:t xml:space="preserve">vents </w:t>
            </w:r>
            <w:r w:rsidR="00B90BB5" w:rsidRPr="00F16981">
              <w:rPr>
                <w:rFonts w:ascii="Candara" w:hAnsi="Candara"/>
              </w:rPr>
              <w:t>reports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</w:tcPr>
          <w:p w:rsidR="00AE05BF" w:rsidRPr="00F16981" w:rsidRDefault="00AE05BF" w:rsidP="00B90BB5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 xml:space="preserve">Quality </w:t>
            </w:r>
            <w:r w:rsidR="00B90BB5" w:rsidRPr="00F16981">
              <w:rPr>
                <w:rFonts w:ascii="Candara" w:hAnsi="Candara"/>
              </w:rPr>
              <w:t>I</w:t>
            </w:r>
            <w:r w:rsidRPr="00F16981">
              <w:rPr>
                <w:rFonts w:ascii="Candara" w:hAnsi="Candara"/>
              </w:rPr>
              <w:t xml:space="preserve">mprovement </w:t>
            </w:r>
            <w:r w:rsidR="00B90BB5" w:rsidRPr="00F16981">
              <w:rPr>
                <w:rFonts w:ascii="Candara" w:hAnsi="Candara"/>
              </w:rPr>
              <w:t xml:space="preserve"> reports</w:t>
            </w:r>
          </w:p>
        </w:tc>
        <w:tc>
          <w:tcPr>
            <w:tcW w:w="1620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  <w:tcBorders>
              <w:bottom w:val="single" w:sz="4" w:space="0" w:color="auto"/>
            </w:tcBorders>
          </w:tcPr>
          <w:p w:rsidR="00AE05BF" w:rsidRPr="00F16981" w:rsidRDefault="00AE05BF" w:rsidP="00AE05BF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Patient-Centered Medical Home</w:t>
            </w:r>
            <w:r w:rsidR="00B90BB5" w:rsidRPr="00F16981">
              <w:rPr>
                <w:rFonts w:ascii="Candara" w:hAnsi="Candara"/>
              </w:rPr>
              <w:t>-progress reports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  <w:tr w:rsidR="00AE05BF" w:rsidRPr="00F16981" w:rsidTr="00AE05BF">
        <w:tc>
          <w:tcPr>
            <w:tcW w:w="6385" w:type="dxa"/>
            <w:tcBorders>
              <w:bottom w:val="single" w:sz="4" w:space="0" w:color="auto"/>
            </w:tcBorders>
          </w:tcPr>
          <w:p w:rsidR="00AE05BF" w:rsidRPr="00F16981" w:rsidRDefault="00AE05BF" w:rsidP="007E0910">
            <w:pPr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t>Strategic plannin</w:t>
            </w:r>
            <w:r w:rsidR="007E0910" w:rsidRPr="00F16981">
              <w:rPr>
                <w:rFonts w:ascii="Candara" w:hAnsi="Candara"/>
              </w:rPr>
              <w:t>g – progress</w:t>
            </w:r>
            <w:r w:rsidRPr="00F16981">
              <w:rPr>
                <w:rFonts w:ascii="Candara" w:hAnsi="Candara"/>
              </w:rPr>
              <w:t xml:space="preserve"> </w:t>
            </w:r>
            <w:r w:rsidR="00B90BB5" w:rsidRPr="00F16981">
              <w:rPr>
                <w:rFonts w:ascii="Candara" w:hAnsi="Candara"/>
              </w:rPr>
              <w:t>reports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E05BF" w:rsidRPr="00F16981" w:rsidRDefault="00AE05BF" w:rsidP="00AE05BF">
            <w:pPr>
              <w:jc w:val="center"/>
              <w:rPr>
                <w:rFonts w:ascii="Candara" w:hAnsi="Candara"/>
              </w:rPr>
            </w:pPr>
            <w:r w:rsidRPr="00F16981">
              <w:rPr>
                <w:rFonts w:ascii="Candara" w:hAnsi="Candara"/>
              </w:rPr>
              <w:sym w:font="Wingdings" w:char="F072"/>
            </w:r>
          </w:p>
        </w:tc>
      </w:tr>
    </w:tbl>
    <w:p w:rsidR="00DE2A00" w:rsidRPr="00F16981" w:rsidRDefault="00DE2A00">
      <w:pPr>
        <w:rPr>
          <w:rFonts w:ascii="Candara" w:hAnsi="Candara"/>
          <w:i/>
        </w:rPr>
      </w:pPr>
      <w:r w:rsidRPr="00F16981">
        <w:rPr>
          <w:rFonts w:ascii="Candara" w:hAnsi="Candara"/>
        </w:rPr>
        <w:t xml:space="preserve">                                                                                                    </w:t>
      </w:r>
    </w:p>
    <w:sectPr w:rsidR="00DE2A00" w:rsidRPr="00F16981" w:rsidSect="00F16981">
      <w:headerReference w:type="default" r:id="rId8"/>
      <w:footerReference w:type="default" r:id="rId9"/>
      <w:pgSz w:w="12240" w:h="15840"/>
      <w:pgMar w:top="1440" w:right="1440" w:bottom="72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E5" w:rsidRDefault="001626E5" w:rsidP="00C8148B">
      <w:pPr>
        <w:spacing w:after="0" w:line="240" w:lineRule="auto"/>
      </w:pPr>
      <w:r>
        <w:separator/>
      </w:r>
    </w:p>
  </w:endnote>
  <w:endnote w:type="continuationSeparator" w:id="0">
    <w:p w:rsidR="001626E5" w:rsidRDefault="001626E5" w:rsidP="00C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8B" w:rsidRDefault="00C814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16981">
      <w:rPr>
        <w:rFonts w:ascii="Candara" w:eastAsiaTheme="majorEastAsia" w:hAnsi="Candara" w:cstheme="majorBidi"/>
        <w:color w:val="A6A6A6" w:themeColor="background1" w:themeShade="A6"/>
      </w:rPr>
      <w:t>N</w:t>
    </w:r>
    <w:r w:rsidR="00F16981" w:rsidRPr="00F16981">
      <w:rPr>
        <w:rFonts w:ascii="Candara" w:eastAsiaTheme="majorEastAsia" w:hAnsi="Candara" w:cstheme="majorBidi"/>
        <w:color w:val="A6A6A6" w:themeColor="background1" w:themeShade="A6"/>
      </w:rPr>
      <w:t xml:space="preserve">ATIONAL CENTER FOR FARMWORKER HEALTH, INC </w:t>
    </w:r>
    <w:r w:rsidRPr="00F16981">
      <w:rPr>
        <w:rFonts w:ascii="Candara" w:eastAsiaTheme="majorEastAsia" w:hAnsi="Candara" w:cstheme="majorBidi"/>
        <w:color w:val="A6A6A6" w:themeColor="background1" w:themeShade="A6"/>
      </w:rPr>
      <w:t>[</w:t>
    </w:r>
    <w:r w:rsidR="00395108" w:rsidRPr="00F16981">
      <w:rPr>
        <w:rFonts w:ascii="Candara" w:eastAsiaTheme="majorEastAsia" w:hAnsi="Candara" w:cstheme="majorBidi"/>
        <w:color w:val="A6A6A6" w:themeColor="background1" w:themeShade="A6"/>
      </w:rPr>
      <w:t xml:space="preserve">April </w:t>
    </w:r>
    <w:r w:rsidRPr="00F16981">
      <w:rPr>
        <w:rFonts w:ascii="Candara" w:eastAsiaTheme="majorEastAsia" w:hAnsi="Candara" w:cstheme="majorBidi"/>
        <w:color w:val="A6A6A6" w:themeColor="background1" w:themeShade="A6"/>
      </w:rPr>
      <w:t>2015</w:t>
    </w:r>
    <w:proofErr w:type="gramStart"/>
    <w:r w:rsidR="00F16981">
      <w:rPr>
        <w:rFonts w:ascii="Candara" w:eastAsiaTheme="majorEastAsia" w:hAnsi="Candara" w:cstheme="majorBidi"/>
        <w:color w:val="A6A6A6" w:themeColor="background1" w:themeShade="A6"/>
      </w:rPr>
      <w:t>]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9584B" w:rsidRPr="0069584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148B" w:rsidRDefault="00C81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E5" w:rsidRDefault="001626E5" w:rsidP="00C8148B">
      <w:pPr>
        <w:spacing w:after="0" w:line="240" w:lineRule="auto"/>
      </w:pPr>
      <w:r>
        <w:separator/>
      </w:r>
    </w:p>
  </w:footnote>
  <w:footnote w:type="continuationSeparator" w:id="0">
    <w:p w:rsidR="001626E5" w:rsidRDefault="001626E5" w:rsidP="00C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81" w:rsidRDefault="00F16981" w:rsidP="00F16981">
    <w:pPr>
      <w:pStyle w:val="Heading1"/>
      <w:jc w:val="center"/>
      <w:rPr>
        <w:b w:val="0"/>
        <w:color w:val="auto"/>
      </w:rPr>
    </w:pPr>
    <w:r>
      <w:rPr>
        <w:b w:val="0"/>
        <w:noProof/>
        <w:color w:val="auto"/>
      </w:rPr>
      <w:drawing>
        <wp:inline distT="0" distB="0" distL="0" distR="0" wp14:anchorId="39481EC4" wp14:editId="1ED11574">
          <wp:extent cx="195072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48B" w:rsidRPr="00F16981" w:rsidRDefault="00F16981" w:rsidP="00F16981">
    <w:pPr>
      <w:pStyle w:val="Heading1"/>
      <w:spacing w:line="240" w:lineRule="auto"/>
      <w:jc w:val="center"/>
      <w:rPr>
        <w:rFonts w:ascii="Candara" w:hAnsi="Candara"/>
        <w:b w:val="0"/>
        <w:color w:val="auto"/>
        <w:sz w:val="24"/>
        <w:szCs w:val="24"/>
      </w:rPr>
    </w:pPr>
    <w:r w:rsidRPr="00F16981">
      <w:rPr>
        <w:rFonts w:ascii="Candara" w:hAnsi="Candara"/>
        <w:b w:val="0"/>
        <w:color w:val="auto"/>
        <w:sz w:val="24"/>
        <w:szCs w:val="24"/>
      </w:rPr>
      <w:t>BOARD TRAINING TOPICS &amp;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487"/>
    <w:multiLevelType w:val="hybridMultilevel"/>
    <w:tmpl w:val="2AA8D426"/>
    <w:lvl w:ilvl="0" w:tplc="6A8259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B"/>
    <w:rsid w:val="000504C6"/>
    <w:rsid w:val="000775CA"/>
    <w:rsid w:val="00077AAE"/>
    <w:rsid w:val="00097802"/>
    <w:rsid w:val="0012218F"/>
    <w:rsid w:val="00134094"/>
    <w:rsid w:val="00146229"/>
    <w:rsid w:val="001626E5"/>
    <w:rsid w:val="001959F7"/>
    <w:rsid w:val="00195A96"/>
    <w:rsid w:val="001A0388"/>
    <w:rsid w:val="001D7F5D"/>
    <w:rsid w:val="00210C2A"/>
    <w:rsid w:val="002849FD"/>
    <w:rsid w:val="002D15EB"/>
    <w:rsid w:val="003028F0"/>
    <w:rsid w:val="00323893"/>
    <w:rsid w:val="003413FE"/>
    <w:rsid w:val="00395108"/>
    <w:rsid w:val="00397187"/>
    <w:rsid w:val="003A5A31"/>
    <w:rsid w:val="00400495"/>
    <w:rsid w:val="00405FCF"/>
    <w:rsid w:val="00420FA2"/>
    <w:rsid w:val="00496A91"/>
    <w:rsid w:val="005101B9"/>
    <w:rsid w:val="00547A50"/>
    <w:rsid w:val="00554C1F"/>
    <w:rsid w:val="005C4CC5"/>
    <w:rsid w:val="00676BE0"/>
    <w:rsid w:val="0069584B"/>
    <w:rsid w:val="006A3EEA"/>
    <w:rsid w:val="006E06EC"/>
    <w:rsid w:val="006F23FF"/>
    <w:rsid w:val="00706E60"/>
    <w:rsid w:val="007D3762"/>
    <w:rsid w:val="007E0910"/>
    <w:rsid w:val="007E0CC6"/>
    <w:rsid w:val="00811F75"/>
    <w:rsid w:val="008138BC"/>
    <w:rsid w:val="0081643C"/>
    <w:rsid w:val="00837607"/>
    <w:rsid w:val="00842E3B"/>
    <w:rsid w:val="00855A34"/>
    <w:rsid w:val="00870994"/>
    <w:rsid w:val="008B5448"/>
    <w:rsid w:val="008C02B7"/>
    <w:rsid w:val="008D7BEF"/>
    <w:rsid w:val="009A548A"/>
    <w:rsid w:val="009B226A"/>
    <w:rsid w:val="009C535A"/>
    <w:rsid w:val="00A04533"/>
    <w:rsid w:val="00A91AF1"/>
    <w:rsid w:val="00AE05BF"/>
    <w:rsid w:val="00AF1EB5"/>
    <w:rsid w:val="00B40C6E"/>
    <w:rsid w:val="00B70D51"/>
    <w:rsid w:val="00B90BB5"/>
    <w:rsid w:val="00BB559E"/>
    <w:rsid w:val="00C15CE4"/>
    <w:rsid w:val="00C617FD"/>
    <w:rsid w:val="00C8148B"/>
    <w:rsid w:val="00C96A34"/>
    <w:rsid w:val="00C9773B"/>
    <w:rsid w:val="00CC3DA8"/>
    <w:rsid w:val="00CD3566"/>
    <w:rsid w:val="00D1665D"/>
    <w:rsid w:val="00D256C0"/>
    <w:rsid w:val="00D86A97"/>
    <w:rsid w:val="00D91EBF"/>
    <w:rsid w:val="00DA24BE"/>
    <w:rsid w:val="00DE2A00"/>
    <w:rsid w:val="00E22E44"/>
    <w:rsid w:val="00E7095F"/>
    <w:rsid w:val="00F16981"/>
    <w:rsid w:val="00F57825"/>
    <w:rsid w:val="00F74AC3"/>
    <w:rsid w:val="00FD7E5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8B"/>
  </w:style>
  <w:style w:type="paragraph" w:styleId="Footer">
    <w:name w:val="footer"/>
    <w:basedOn w:val="Normal"/>
    <w:link w:val="Foot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8B"/>
  </w:style>
  <w:style w:type="paragraph" w:styleId="BalloonText">
    <w:name w:val="Balloon Text"/>
    <w:basedOn w:val="Normal"/>
    <w:link w:val="BalloonTextChar"/>
    <w:uiPriority w:val="99"/>
    <w:semiHidden/>
    <w:unhideWhenUsed/>
    <w:rsid w:val="00C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42E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C4C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1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8B"/>
  </w:style>
  <w:style w:type="paragraph" w:styleId="Footer">
    <w:name w:val="footer"/>
    <w:basedOn w:val="Normal"/>
    <w:link w:val="FooterChar"/>
    <w:uiPriority w:val="99"/>
    <w:unhideWhenUsed/>
    <w:rsid w:val="00C8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8B"/>
  </w:style>
  <w:style w:type="paragraph" w:styleId="BalloonText">
    <w:name w:val="Balloon Text"/>
    <w:basedOn w:val="Normal"/>
    <w:link w:val="BalloonTextChar"/>
    <w:uiPriority w:val="99"/>
    <w:semiHidden/>
    <w:unhideWhenUsed/>
    <w:rsid w:val="00C8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42E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C4C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1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Training Topics &amp; Schedule</vt:lpstr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Training Topics &amp; Schedule</dc:title>
  <dc:creator>bogue</dc:creator>
  <cp:lastModifiedBy>Lisa Miller</cp:lastModifiedBy>
  <cp:revision>2</cp:revision>
  <dcterms:created xsi:type="dcterms:W3CDTF">2015-05-13T16:15:00Z</dcterms:created>
  <dcterms:modified xsi:type="dcterms:W3CDTF">2015-05-13T16:15:00Z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-238727950</vt:i4>
  </property>
  <property fmtid="{D5CDD505-2E9C-101B-9397-08002B2CF9AE}" pid="3" name="_NewReviewCycle">
    <vt:lpwstr/>
  </property>
  <property fmtid="{D5CDD505-2E9C-101B-9397-08002B2CF9AE}" pid="4" name="_EmailSubject">
    <vt:lpwstr>Edits and postings for Governance Toolkit</vt:lpwstr>
  </property>
  <property fmtid="{D5CDD505-2E9C-101B-9397-08002B2CF9AE}" pid="5" name="_AuthorEmail">
    <vt:lpwstr>bogue@ncfh.org</vt:lpwstr>
  </property>
  <property fmtid="{D5CDD505-2E9C-101B-9397-08002B2CF9AE}" pid="6" name="_AuthorEmailDisplayName">
    <vt:lpwstr>Hilda Bogue</vt:lpwstr>
  </property>
  <property fmtid="{D5CDD505-2E9C-101B-9397-08002B2CF9AE}" pid="7" name="_ReviewingToolsShownOnce">
    <vt:lpwstr/>
  </property>
</Properties>
</file>