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8" w:rsidRDefault="00621828">
      <w:bookmarkStart w:id="0" w:name="_GoBack"/>
      <w:bookmarkEnd w:id="0"/>
    </w:p>
    <w:tbl>
      <w:tblPr>
        <w:tblStyle w:val="TableGrid"/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5E3C41" w:rsidRPr="0003555C" w:rsidTr="009427B3">
        <w:tc>
          <w:tcPr>
            <w:tcW w:w="6408" w:type="dxa"/>
          </w:tcPr>
          <w:p w:rsidR="005E3C41" w:rsidRDefault="002A53E3" w:rsidP="002A53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A53E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PROCEDURE:  </w:t>
            </w:r>
            <w:r w:rsidR="00706A1C">
              <w:t xml:space="preserve"> </w:t>
            </w:r>
            <w:r w:rsidR="00706A1C" w:rsidRPr="00706A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Safety of Community Workers </w:t>
            </w:r>
            <w:r w:rsidR="00AD43D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When Transporting Patients</w:t>
            </w:r>
          </w:p>
          <w:p w:rsidR="00706A1C" w:rsidRPr="0003555C" w:rsidRDefault="00706A1C" w:rsidP="002A53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68" w:type="dxa"/>
          </w:tcPr>
          <w:p w:rsidR="005E3C41" w:rsidRPr="0003555C" w:rsidRDefault="005E3C41" w:rsidP="00AD43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NUMBER:</w:t>
            </w:r>
            <w:r w:rsidR="00250C8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97E8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D43D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:rsidR="00AD43DE" w:rsidRDefault="00AD43DE" w:rsidP="00AD43DE">
      <w:pPr>
        <w:pStyle w:val="ListParagraph"/>
        <w:numPr>
          <w:ilvl w:val="0"/>
          <w:numId w:val="16"/>
        </w:numPr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Comply with “</w:t>
      </w:r>
      <w:r>
        <w:rPr>
          <w:rFonts w:asciiTheme="minorHAnsi" w:hAnsiTheme="minorHAnsi" w:cstheme="minorHAnsi"/>
          <w:i/>
          <w:sz w:val="24"/>
          <w:szCs w:val="24"/>
        </w:rPr>
        <w:t>Safety of Community Workers Protocol.”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43DE" w:rsidRDefault="00AD43DE" w:rsidP="00AD43DE">
      <w:pPr>
        <w:pStyle w:val="ListParagraph"/>
        <w:spacing w:after="200"/>
        <w:ind w:left="360"/>
        <w:rPr>
          <w:rFonts w:asciiTheme="minorHAnsi" w:hAnsiTheme="minorHAnsi" w:cstheme="minorHAnsi"/>
          <w:sz w:val="24"/>
          <w:szCs w:val="24"/>
        </w:rPr>
      </w:pPr>
    </w:p>
    <w:p w:rsidR="00AD43DE" w:rsidRDefault="00AD43DE" w:rsidP="00AD43DE">
      <w:pPr>
        <w:pStyle w:val="ListParagraph"/>
        <w:numPr>
          <w:ilvl w:val="0"/>
          <w:numId w:val="16"/>
        </w:numPr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Often while working in the community, staff may encounter clients in desperate need of transportation.  Although it is very </w:t>
      </w:r>
      <w:r w:rsidR="002A5902">
        <w:rPr>
          <w:rFonts w:asciiTheme="minorHAnsi" w:hAnsiTheme="minorHAnsi" w:cstheme="minorHAnsi"/>
          <w:sz w:val="24"/>
          <w:szCs w:val="24"/>
        </w:rPr>
        <w:t>tempting to help, be aware that</w:t>
      </w:r>
      <w:r>
        <w:rPr>
          <w:rFonts w:asciiTheme="minorHAnsi" w:hAnsiTheme="minorHAnsi" w:cstheme="minorHAnsi"/>
          <w:sz w:val="24"/>
          <w:szCs w:val="24"/>
        </w:rPr>
        <w:t xml:space="preserve"> in addition to the inherent risk of driving, transporting patients adds additional risk.  Therefore, before you offer to transport patients, be sure to ask yourself: 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 this a medical emergency? (if yes, call 911 or local emergency #)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this a function in my job description?  </w:t>
      </w:r>
      <w:r>
        <w:rPr>
          <w:rFonts w:asciiTheme="minorHAnsi" w:hAnsiTheme="minorHAnsi" w:cstheme="minorHAnsi"/>
          <w:b/>
          <w:sz w:val="24"/>
          <w:szCs w:val="24"/>
        </w:rPr>
        <w:t>If not,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I need to call my supervisor for authorization? </w:t>
      </w:r>
    </w:p>
    <w:p w:rsidR="00AD43DE" w:rsidRDefault="00AD43DE" w:rsidP="00AD43DE">
      <w:pPr>
        <w:pStyle w:val="ListParagraph"/>
        <w:spacing w:after="200"/>
        <w:ind w:left="900"/>
        <w:rPr>
          <w:rFonts w:asciiTheme="minorHAnsi" w:hAnsiTheme="minorHAnsi" w:cstheme="minorHAnsi"/>
          <w:sz w:val="24"/>
          <w:szCs w:val="24"/>
        </w:rPr>
      </w:pPr>
    </w:p>
    <w:p w:rsidR="00AD43DE" w:rsidRDefault="00AD43DE" w:rsidP="00AD43DE">
      <w:pPr>
        <w:pStyle w:val="ListParagraph"/>
        <w:numPr>
          <w:ilvl w:val="0"/>
          <w:numId w:val="16"/>
        </w:numPr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this is part of your job or if you obtained authorization to transport patients</w:t>
      </w:r>
      <w:r w:rsidR="002A590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be sure to: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Carry a valid driver</w:t>
      </w:r>
      <w:r w:rsidR="002A5902">
        <w:rPr>
          <w:rFonts w:asciiTheme="minorHAnsi" w:hAnsiTheme="minorHAnsi" w:cstheme="minorHAnsi"/>
          <w:sz w:val="24"/>
          <w:szCs w:val="24"/>
        </w:rPr>
        <w:t>’s</w:t>
      </w:r>
      <w:r>
        <w:rPr>
          <w:rFonts w:asciiTheme="minorHAnsi" w:hAnsiTheme="minorHAnsi" w:cstheme="minorHAnsi"/>
          <w:sz w:val="24"/>
          <w:szCs w:val="24"/>
        </w:rPr>
        <w:t xml:space="preserve"> license, car registration and insurance. 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Make sure that you have enough gas.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Know and obey your state driving laws.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Know your rights and those of your patients.  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Always use seatbelts and demand that your passengers use them. 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Comply with car seat requirements.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Whenever possible, drive on main routes.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Carry an all-weather emergency kit, including food and water.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Always notify someone where you are going, with whom, and the expected time of arrival. 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Carry a fully charged cell phone with pre-programmed emergency numbers.  </w:t>
      </w:r>
    </w:p>
    <w:p w:rsidR="00AD43DE" w:rsidRDefault="00AD43DE" w:rsidP="00AD43DE">
      <w:pPr>
        <w:pStyle w:val="ListParagraph"/>
        <w:numPr>
          <w:ilvl w:val="1"/>
          <w:numId w:val="16"/>
        </w:numPr>
        <w:spacing w:after="20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are a driver, follow the protocols for “</w:t>
      </w:r>
      <w:r>
        <w:rPr>
          <w:rFonts w:asciiTheme="minorHAnsi" w:hAnsiTheme="minorHAnsi" w:cstheme="minorHAnsi"/>
          <w:i/>
          <w:sz w:val="24"/>
          <w:szCs w:val="24"/>
        </w:rPr>
        <w:t>Drivers</w:t>
      </w:r>
      <w:r>
        <w:rPr>
          <w:rFonts w:asciiTheme="minorHAnsi" w:hAnsiTheme="minorHAnsi" w:cstheme="minorHAnsi"/>
          <w:sz w:val="24"/>
          <w:szCs w:val="24"/>
        </w:rPr>
        <w:t xml:space="preserve">.”  </w:t>
      </w:r>
    </w:p>
    <w:p w:rsidR="00AD43DE" w:rsidRDefault="00AD43DE" w:rsidP="00AD43DE">
      <w:pPr>
        <w:pStyle w:val="ListParagraph"/>
        <w:numPr>
          <w:ilvl w:val="1"/>
          <w:numId w:val="16"/>
        </w:numPr>
        <w:ind w:left="9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the event of an accident or if you encounter road blocks with physical or human barriers, follow the protocol “</w:t>
      </w:r>
      <w:r>
        <w:rPr>
          <w:rFonts w:asciiTheme="minorHAnsi" w:hAnsiTheme="minorHAnsi" w:cstheme="minorHAnsi"/>
          <w:i/>
          <w:sz w:val="24"/>
          <w:szCs w:val="24"/>
        </w:rPr>
        <w:t>Safety of Community Workers during Emergencies and Road Blocks.”</w:t>
      </w:r>
    </w:p>
    <w:p w:rsidR="00706A1C" w:rsidRDefault="00706A1C" w:rsidP="005E3C41">
      <w:pPr>
        <w:rPr>
          <w:rFonts w:asciiTheme="minorHAnsi" w:hAnsiTheme="minorHAnsi" w:cstheme="minorHAnsi"/>
          <w:sz w:val="24"/>
          <w:szCs w:val="24"/>
        </w:rPr>
      </w:pPr>
    </w:p>
    <w:p w:rsidR="00706A1C" w:rsidRDefault="00706A1C" w:rsidP="005E3C41">
      <w:pPr>
        <w:rPr>
          <w:rFonts w:asciiTheme="minorHAnsi" w:hAnsiTheme="minorHAnsi" w:cstheme="minorHAnsi"/>
          <w:sz w:val="24"/>
          <w:szCs w:val="24"/>
        </w:rPr>
      </w:pPr>
    </w:p>
    <w:p w:rsidR="005E3C41" w:rsidRDefault="005E3C41" w:rsidP="005E3C41">
      <w:pPr>
        <w:rPr>
          <w:rFonts w:asciiTheme="minorHAnsi" w:hAnsiTheme="minorHAnsi" w:cstheme="minorHAnsi"/>
          <w:sz w:val="24"/>
          <w:szCs w:val="24"/>
        </w:rPr>
      </w:pPr>
    </w:p>
    <w:p w:rsidR="00AD43DE" w:rsidRDefault="00AD43DE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Default="000B0385" w:rsidP="005E3C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Date</w:t>
      </w:r>
      <w:r w:rsidR="00621828" w:rsidRPr="0003555C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621828">
        <w:rPr>
          <w:rFonts w:asciiTheme="minorHAnsi" w:hAnsiTheme="minorHAnsi" w:cstheme="minorHAnsi"/>
          <w:sz w:val="24"/>
          <w:szCs w:val="24"/>
        </w:rPr>
        <w:tab/>
      </w:r>
    </w:p>
    <w:p w:rsidR="005E3C41" w:rsidRPr="0003555C" w:rsidRDefault="005E3C41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Default="000B0385" w:rsidP="005E3C41">
      <w:r>
        <w:rPr>
          <w:rFonts w:asciiTheme="minorHAnsi" w:hAnsiTheme="minorHAnsi" w:cstheme="minorHAnsi"/>
          <w:sz w:val="24"/>
          <w:szCs w:val="24"/>
        </w:rPr>
        <w:t>Revision Date</w:t>
      </w:r>
      <w:r w:rsidR="00621828" w:rsidRPr="0003555C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621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A9" w:rsidRDefault="00732EA9" w:rsidP="001570A7">
      <w:r>
        <w:separator/>
      </w:r>
    </w:p>
  </w:endnote>
  <w:endnote w:type="continuationSeparator" w:id="0">
    <w:p w:rsidR="00732EA9" w:rsidRDefault="00732EA9" w:rsidP="001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60" w:rsidRDefault="004A2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F3AAE" w:rsidTr="00BF3AAE">
      <w:tc>
        <w:tcPr>
          <w:tcW w:w="4500" w:type="pct"/>
          <w:tcBorders>
            <w:top w:val="single" w:sz="4" w:space="0" w:color="000000" w:themeColor="text1"/>
          </w:tcBorders>
        </w:tcPr>
        <w:p w:rsidR="00BF3AAE" w:rsidRDefault="00BF3AAE" w:rsidP="000B0385">
          <w:pPr>
            <w:pStyle w:val="Footer"/>
          </w:pPr>
          <w:r>
            <w:t xml:space="preserve">NCFH:  </w:t>
          </w:r>
          <w:r w:rsidR="000B0385">
            <w:t>March</w:t>
          </w:r>
          <w:r>
            <w:t xml:space="preserve"> 2012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DB3E2" w:themeFill="text2" w:themeFillTint="66"/>
        </w:tcPr>
        <w:p w:rsidR="00BF3AAE" w:rsidRDefault="00BF3AA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65B41" w:rsidRPr="00765B4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F3AAE" w:rsidRDefault="00BF3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60" w:rsidRDefault="004A2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A9" w:rsidRDefault="00732EA9" w:rsidP="001570A7">
      <w:r>
        <w:separator/>
      </w:r>
    </w:p>
  </w:footnote>
  <w:footnote w:type="continuationSeparator" w:id="0">
    <w:p w:rsidR="00732EA9" w:rsidRDefault="00732EA9" w:rsidP="0015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60" w:rsidRDefault="004A2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A7" w:rsidRDefault="00765B41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id w:val="934251509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1F497D" w:themeColor="text2"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617206" o:spid="_x0000_s2049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TEMPLATE"/>
              <w10:wrap anchorx="margin" anchory="margin"/>
            </v:shape>
          </w:pict>
        </w:r>
      </w:sdtContent>
    </w:sdt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70A7">
          <w:rPr>
            <w:b/>
            <w:bCs/>
            <w:color w:val="1F497D" w:themeColor="text2"/>
            <w:sz w:val="28"/>
            <w:szCs w:val="28"/>
          </w:rPr>
          <w:t>HEALTHY COMMUNITY HEALTH CENTER</w:t>
        </w:r>
      </w:sdtContent>
    </w:sdt>
  </w:p>
  <w:sdt>
    <w:sdtPr>
      <w:rPr>
        <w:color w:val="4F81BD" w:themeColor="accent1"/>
      </w:rPr>
      <w:alias w:val="Subtitl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570A7" w:rsidRDefault="006A14D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POLICY: SAFETY OF COMMUNITY WORKERS</w:t>
        </w:r>
      </w:p>
    </w:sdtContent>
  </w:sdt>
  <w:p w:rsidR="001570A7" w:rsidRDefault="001570A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1570A7" w:rsidRDefault="001570A7">
    <w:pPr>
      <w:pStyle w:val="Header"/>
    </w:pPr>
  </w:p>
  <w:p w:rsidR="005E3C41" w:rsidRDefault="005E3C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60" w:rsidRDefault="004A2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C6A"/>
    <w:multiLevelType w:val="hybridMultilevel"/>
    <w:tmpl w:val="EF0C5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AA222C"/>
    <w:multiLevelType w:val="hybridMultilevel"/>
    <w:tmpl w:val="4E50C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F7FCE"/>
    <w:multiLevelType w:val="hybridMultilevel"/>
    <w:tmpl w:val="CB6C99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C4F31"/>
    <w:multiLevelType w:val="hybridMultilevel"/>
    <w:tmpl w:val="BA76B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FC3130"/>
    <w:multiLevelType w:val="hybridMultilevel"/>
    <w:tmpl w:val="829E608C"/>
    <w:lvl w:ilvl="0" w:tplc="7A9051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92F35"/>
    <w:multiLevelType w:val="hybridMultilevel"/>
    <w:tmpl w:val="D7B00588"/>
    <w:lvl w:ilvl="0" w:tplc="7A905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1A2A"/>
    <w:multiLevelType w:val="hybridMultilevel"/>
    <w:tmpl w:val="1A78C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20843"/>
    <w:multiLevelType w:val="hybridMultilevel"/>
    <w:tmpl w:val="2A7C2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571E8"/>
    <w:multiLevelType w:val="hybridMultilevel"/>
    <w:tmpl w:val="49664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0522F"/>
    <w:multiLevelType w:val="hybridMultilevel"/>
    <w:tmpl w:val="51A4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5259"/>
    <w:multiLevelType w:val="hybridMultilevel"/>
    <w:tmpl w:val="424C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B6E8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55E"/>
    <w:multiLevelType w:val="hybridMultilevel"/>
    <w:tmpl w:val="56C2EA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2295F"/>
    <w:multiLevelType w:val="hybridMultilevel"/>
    <w:tmpl w:val="BF70A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6758D2"/>
    <w:multiLevelType w:val="hybridMultilevel"/>
    <w:tmpl w:val="9084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5"/>
    <w:lvlOverride w:ilvl="0">
      <w:lvl w:ilvl="0" w:tplc="7A90514E">
        <w:start w:val="1"/>
        <w:numFmt w:val="decimal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1F"/>
    <w:rsid w:val="0003555C"/>
    <w:rsid w:val="0004206C"/>
    <w:rsid w:val="0004753D"/>
    <w:rsid w:val="00055058"/>
    <w:rsid w:val="000729C6"/>
    <w:rsid w:val="00097E88"/>
    <w:rsid w:val="000B0385"/>
    <w:rsid w:val="001570A7"/>
    <w:rsid w:val="0018728B"/>
    <w:rsid w:val="001B2C85"/>
    <w:rsid w:val="001B4592"/>
    <w:rsid w:val="00250C89"/>
    <w:rsid w:val="00256975"/>
    <w:rsid w:val="002A2DB2"/>
    <w:rsid w:val="002A53E3"/>
    <w:rsid w:val="002A5902"/>
    <w:rsid w:val="00301890"/>
    <w:rsid w:val="0031573C"/>
    <w:rsid w:val="00365234"/>
    <w:rsid w:val="003D0445"/>
    <w:rsid w:val="003D3C30"/>
    <w:rsid w:val="003F5C15"/>
    <w:rsid w:val="00483549"/>
    <w:rsid w:val="004A2C60"/>
    <w:rsid w:val="004F1CA6"/>
    <w:rsid w:val="005078A1"/>
    <w:rsid w:val="005458CB"/>
    <w:rsid w:val="00550FCD"/>
    <w:rsid w:val="00566302"/>
    <w:rsid w:val="00575E66"/>
    <w:rsid w:val="005B4F53"/>
    <w:rsid w:val="005E3C41"/>
    <w:rsid w:val="005E6B5E"/>
    <w:rsid w:val="00621828"/>
    <w:rsid w:val="006A14DE"/>
    <w:rsid w:val="006C4EBE"/>
    <w:rsid w:val="006D126A"/>
    <w:rsid w:val="0070604B"/>
    <w:rsid w:val="00706A1C"/>
    <w:rsid w:val="007213F6"/>
    <w:rsid w:val="00732EA9"/>
    <w:rsid w:val="00765B41"/>
    <w:rsid w:val="007B0644"/>
    <w:rsid w:val="008138BC"/>
    <w:rsid w:val="008437F2"/>
    <w:rsid w:val="008578D6"/>
    <w:rsid w:val="00876408"/>
    <w:rsid w:val="00884C1F"/>
    <w:rsid w:val="0089747E"/>
    <w:rsid w:val="008B5F38"/>
    <w:rsid w:val="00A83DD5"/>
    <w:rsid w:val="00AD17A8"/>
    <w:rsid w:val="00AD43DE"/>
    <w:rsid w:val="00AF6060"/>
    <w:rsid w:val="00B071FA"/>
    <w:rsid w:val="00B60ABD"/>
    <w:rsid w:val="00BF3AAE"/>
    <w:rsid w:val="00C23546"/>
    <w:rsid w:val="00C2481C"/>
    <w:rsid w:val="00C378C8"/>
    <w:rsid w:val="00CE45BA"/>
    <w:rsid w:val="00DA7788"/>
    <w:rsid w:val="00DB2294"/>
    <w:rsid w:val="00DC3EAA"/>
    <w:rsid w:val="00E3659E"/>
    <w:rsid w:val="00E51730"/>
    <w:rsid w:val="00EE4F30"/>
    <w:rsid w:val="00EE6C53"/>
    <w:rsid w:val="00F21AE1"/>
    <w:rsid w:val="00F43EA9"/>
    <w:rsid w:val="00F618A2"/>
    <w:rsid w:val="00F81E3D"/>
    <w:rsid w:val="00F93EDC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6A705E5-6BF8-4340-920C-CF29ECE3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0A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COMMUNITY HEALTH CENTER</vt:lpstr>
    </vt:vector>
  </TitlesOfParts>
  <Company>ncfh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COMMUNITY HEALTH CENTER</dc:title>
  <dc:subject>POLICY: SAFETY OF COMMUNITY WORKERS</dc:subject>
  <dc:creator>POLICY: SAFETY OF COMMUNITY WORKERS</dc:creator>
  <cp:lastModifiedBy>Bethany Boggess</cp:lastModifiedBy>
  <cp:revision>2</cp:revision>
  <cp:lastPrinted>2012-06-08T15:52:00Z</cp:lastPrinted>
  <dcterms:created xsi:type="dcterms:W3CDTF">2014-11-11T21:14:00Z</dcterms:created>
  <dcterms:modified xsi:type="dcterms:W3CDTF">2014-11-11T21:14:00Z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